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105</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219432</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Toulouse, France</w:t>
      </w:r>
      <w:bookmarkStart w:id="1" w:name="_GoBack"/>
      <w:bookmarkEnd w:id="1"/>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14 </w:t>
      </w:r>
      <w:r>
        <w:rPr>
          <w:rFonts w:ascii="Arial" w:hAnsi="Arial" w:cs="Arial"/>
          <w:b/>
          <w:bCs/>
          <w:sz w:val="24"/>
          <w:szCs w:val="24"/>
        </w:rPr>
        <w:t>–</w:t>
      </w:r>
      <w:r>
        <w:rPr>
          <w:rFonts w:hint="eastAsia" w:ascii="Arial" w:hAnsi="Arial" w:eastAsia="宋体" w:cs="Arial"/>
          <w:b/>
          <w:bCs/>
          <w:sz w:val="24"/>
          <w:szCs w:val="24"/>
          <w:lang w:val="en-US" w:eastAsia="zh-CN"/>
        </w:rPr>
        <w:t xml:space="preserve"> 18</w:t>
      </w:r>
      <w:r>
        <w:rPr>
          <w:rFonts w:ascii="Arial" w:hAnsi="Arial" w:cs="Arial"/>
          <w:b/>
          <w:bCs/>
          <w:sz w:val="24"/>
          <w:szCs w:val="24"/>
        </w:rPr>
        <w:t xml:space="preserve"> </w:t>
      </w:r>
      <w:r>
        <w:rPr>
          <w:rFonts w:hint="eastAsia" w:ascii="Arial" w:hAnsi="Arial" w:eastAsia="宋体" w:cs="Arial"/>
          <w:b/>
          <w:bCs/>
          <w:sz w:val="24"/>
          <w:szCs w:val="24"/>
          <w:lang w:val="en-US" w:eastAsia="zh-CN"/>
        </w:rPr>
        <w:t>Nov</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signaling characteristic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8.13.4.4</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revised WID[1] for Rel-18 was approved </w:t>
      </w:r>
      <w:r>
        <w:rPr>
          <w:rFonts w:hint="eastAsia"/>
          <w:lang w:val="en-US" w:eastAsia="zh-CN"/>
        </w:rPr>
        <w:t>to study the air-to-ground for NR. The objective of this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Cs/>
                <w:lang w:eastAsia="zh-CN"/>
              </w:rPr>
            </w:pPr>
            <w:r>
              <w:rPr>
                <w:rFonts w:hint="eastAsia"/>
                <w:bCs/>
                <w:lang w:eastAsia="zh-CN"/>
              </w:rPr>
              <w:t>T</w:t>
            </w:r>
            <w:r>
              <w:rPr>
                <w:bCs/>
                <w:lang w:eastAsia="zh-CN"/>
              </w:rPr>
              <w:t>he core part of this work item includes</w:t>
            </w:r>
          </w:p>
          <w:p>
            <w:pPr>
              <w:widowControl w:val="0"/>
              <w:numPr>
                <w:ilvl w:val="0"/>
                <w:numId w:val="4"/>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r>
              <w:rPr>
                <w:kern w:val="2"/>
                <w:lang w:val="en-US" w:eastAsia="zh-CN"/>
              </w:rPr>
              <w:t>[RAN4]</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 xml:space="preserve">Scenario: </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BS on the ground, and the CPE type of UE mounted in the aircraft</w:t>
            </w:r>
          </w:p>
          <w:p>
            <w:pPr>
              <w:widowControl w:val="0"/>
              <w:numPr>
                <w:ilvl w:val="2"/>
                <w:numId w:val="4"/>
              </w:numPr>
              <w:overflowPunct/>
              <w:autoSpaceDE/>
              <w:autoSpaceDN/>
              <w:adjustRightInd/>
              <w:spacing w:after="0"/>
              <w:jc w:val="both"/>
              <w:textAlignment w:val="auto"/>
              <w:rPr>
                <w:rFonts w:hint="eastAsia"/>
                <w:kern w:val="2"/>
                <w:lang w:val="en-US" w:eastAsia="zh-CN"/>
              </w:rPr>
            </w:pPr>
            <w:r>
              <w:rPr>
                <w:kern w:val="2"/>
                <w:lang w:val="en-US" w:eastAsia="zh-CN"/>
              </w:rPr>
              <w:t>A direct radio link between BS on the ground and CPE type of UE mounted in the aircraft</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Note: The deployment characteristics described in</w:t>
            </w:r>
            <w:r>
              <w:rPr>
                <w:rFonts w:hint="eastAsia"/>
                <w:kern w:val="2"/>
                <w:lang w:val="en-US" w:eastAsia="zh-CN"/>
              </w:rPr>
              <w:t xml:space="preserve"> the</w:t>
            </w:r>
            <w:r>
              <w:rPr>
                <w:kern w:val="2"/>
                <w:lang w:val="en-US" w:eastAsia="zh-CN"/>
              </w:rPr>
              <w:t xml:space="preserve"> justification </w:t>
            </w:r>
            <w:r>
              <w:rPr>
                <w:rFonts w:hint="eastAsia"/>
                <w:kern w:val="2"/>
                <w:lang w:val="en-US" w:eastAsia="zh-CN"/>
              </w:rPr>
              <w:t>section shall be taken as a basis for the technical discussion</w:t>
            </w:r>
            <w:r>
              <w:rPr>
                <w:kern w:val="2"/>
                <w:lang w:val="en-US" w:eastAsia="zh-CN"/>
              </w:rPr>
              <w:t>.</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Example bands include n1, n78 and n79.</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4"/>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RF requirements for ATG UE/BS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BS type 1-C/1-H/1-O and specify the requirements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RRM core requirements for ATG UE</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different nature of ATG UEs and their view of the network, increased cell sizes and</w:t>
            </w:r>
            <w:r>
              <w:rPr>
                <w:rFonts w:hint="eastAsia"/>
                <w:kern w:val="2"/>
                <w:lang w:val="en-US" w:eastAsia="zh-CN"/>
              </w:rPr>
              <w:t xml:space="preserve"> </w:t>
            </w:r>
            <w:r>
              <w:rPr>
                <w:kern w:val="2"/>
                <w:lang w:val="en-US" w:eastAsia="zh-CN"/>
              </w:rPr>
              <w:t>other relevant aspects</w:t>
            </w:r>
          </w:p>
          <w:p>
            <w:pPr>
              <w:widowControl w:val="0"/>
              <w:numPr>
                <w:ilvl w:val="2"/>
                <w:numId w:val="4"/>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r>
              <w:rPr>
                <w:rFonts w:ascii="Times New Roman" w:hAnsi="Times New Roman" w:eastAsia="Times New Roman" w:cs="Times New Roman"/>
                <w:kern w:val="2"/>
                <w:sz w:val="20"/>
                <w:szCs w:val="24"/>
                <w:lang w:val="en-US" w:eastAsia="zh-CN" w:bidi="ar-SA"/>
              </w:rPr>
              <w:t>Specify new UE/BS type(s) for ATG network if necessary</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around RRM aspects in ATG case. The following agreements were achieved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1" w:hRule="atLeast"/>
        </w:trPr>
        <w:tc>
          <w:tcPr>
            <w:tcW w:w="9514" w:type="dxa"/>
          </w:tcPr>
          <w:p>
            <w:pPr>
              <w:rPr>
                <w:b/>
                <w:sz w:val="20"/>
                <w:szCs w:val="20"/>
                <w:u w:val="single"/>
                <w:lang w:eastAsia="ko-KR"/>
              </w:rPr>
            </w:pPr>
            <w:r>
              <w:rPr>
                <w:b/>
                <w:sz w:val="20"/>
                <w:szCs w:val="20"/>
                <w:u w:val="single"/>
                <w:lang w:eastAsia="ko-KR"/>
              </w:rPr>
              <w:t>Issue 4-1-3: Active BWP switching delay</w:t>
            </w:r>
          </w:p>
          <w:p>
            <w:pPr>
              <w:numPr>
                <w:ilvl w:val="0"/>
                <w:numId w:val="5"/>
              </w:numPr>
              <w:ind w:left="935" w:hanging="357"/>
              <w:rPr>
                <w:rFonts w:eastAsia="宋体"/>
                <w:sz w:val="20"/>
                <w:szCs w:val="20"/>
              </w:rPr>
            </w:pPr>
            <w:r>
              <w:rPr>
                <w:rFonts w:eastAsia="宋体"/>
                <w:sz w:val="20"/>
                <w:szCs w:val="20"/>
              </w:rPr>
              <w:t>No need to define interruptions due to active BWP in section 8.2 of TS 38.133 for NR serving cells for EN-DC and NE-DC.</w:t>
            </w:r>
          </w:p>
          <w:p>
            <w:pPr>
              <w:rPr>
                <w:b/>
                <w:sz w:val="20"/>
                <w:szCs w:val="20"/>
                <w:u w:val="single"/>
                <w:lang w:eastAsia="ko-KR"/>
              </w:rPr>
            </w:pPr>
            <w:r>
              <w:rPr>
                <w:b/>
                <w:sz w:val="20"/>
                <w:szCs w:val="20"/>
                <w:u w:val="single"/>
                <w:lang w:eastAsia="ko-KR"/>
              </w:rPr>
              <w:t>Issue 4-1-4: L1-RSRP measurement requirements</w:t>
            </w:r>
          </w:p>
          <w:p>
            <w:pPr>
              <w:numPr>
                <w:ilvl w:val="0"/>
                <w:numId w:val="5"/>
              </w:numPr>
              <w:ind w:left="935" w:hanging="357"/>
              <w:rPr>
                <w:rFonts w:eastAsia="宋体"/>
                <w:sz w:val="20"/>
                <w:szCs w:val="20"/>
              </w:rPr>
            </w:pPr>
            <w:r>
              <w:rPr>
                <w:rFonts w:eastAsia="宋体"/>
                <w:sz w:val="20"/>
                <w:szCs w:val="20"/>
              </w:rPr>
              <w:t>Reuse the legacy L1-RSRP measurement requirements for ATG. The conclusion could be revisited after RF group has identified the channel model.</w:t>
            </w:r>
          </w:p>
          <w:p>
            <w:pPr>
              <w:rPr>
                <w:b/>
                <w:sz w:val="20"/>
                <w:szCs w:val="20"/>
                <w:u w:val="single"/>
                <w:lang w:eastAsia="ko-KR"/>
              </w:rPr>
            </w:pPr>
            <w:r>
              <w:rPr>
                <w:b/>
                <w:sz w:val="20"/>
                <w:szCs w:val="20"/>
                <w:u w:val="single"/>
                <w:lang w:eastAsia="ko-KR"/>
              </w:rPr>
              <w:t>Issue 4-1-</w:t>
            </w:r>
            <w:r>
              <w:rPr>
                <w:rFonts w:hint="eastAsia"/>
                <w:b/>
                <w:sz w:val="20"/>
                <w:szCs w:val="20"/>
                <w:u w:val="single"/>
                <w:lang w:eastAsia="ko-KR"/>
              </w:rPr>
              <w:t>5</w:t>
            </w:r>
            <w:r>
              <w:rPr>
                <w:b/>
                <w:sz w:val="20"/>
                <w:szCs w:val="20"/>
                <w:u w:val="single"/>
                <w:lang w:eastAsia="ko-KR"/>
              </w:rPr>
              <w:t>: Active TCI state switching delay</w:t>
            </w:r>
            <w:r>
              <w:rPr>
                <w:rFonts w:hint="eastAsia"/>
                <w:b/>
                <w:sz w:val="20"/>
                <w:szCs w:val="20"/>
                <w:u w:val="single"/>
                <w:lang w:eastAsia="ko-KR"/>
              </w:rPr>
              <w:t>,</w:t>
            </w:r>
            <w:r>
              <w:rPr>
                <w:b/>
                <w:sz w:val="20"/>
                <w:szCs w:val="20"/>
                <w:u w:val="single"/>
                <w:lang w:eastAsia="ko-KR"/>
              </w:rPr>
              <w:t xml:space="preserve"> Active downlink TCI state switching delay for unified TCI, Active uplink TCI state switching delay for unified TCI</w:t>
            </w:r>
          </w:p>
          <w:p>
            <w:pPr>
              <w:numPr>
                <w:ilvl w:val="0"/>
                <w:numId w:val="5"/>
              </w:numPr>
              <w:ind w:left="935" w:hanging="357"/>
              <w:rPr>
                <w:rFonts w:eastAsia="宋体"/>
                <w:sz w:val="20"/>
                <w:szCs w:val="20"/>
              </w:rPr>
            </w:pPr>
            <w:r>
              <w:rPr>
                <w:rFonts w:hint="eastAsia" w:eastAsia="宋体"/>
                <w:sz w:val="20"/>
                <w:szCs w:val="20"/>
              </w:rPr>
              <w:t>R</w:t>
            </w:r>
            <w:r>
              <w:rPr>
                <w:rFonts w:eastAsia="宋体"/>
                <w:sz w:val="20"/>
                <w:szCs w:val="20"/>
              </w:rPr>
              <w:t xml:space="preserve">euse the legacy Active TCI state switching delay requirement for ATG. </w:t>
            </w:r>
          </w:p>
          <w:p>
            <w:pPr>
              <w:numPr>
                <w:ilvl w:val="0"/>
                <w:numId w:val="5"/>
              </w:numPr>
              <w:ind w:left="935" w:hanging="357"/>
              <w:rPr>
                <w:rFonts w:eastAsia="宋体"/>
                <w:sz w:val="20"/>
                <w:szCs w:val="20"/>
              </w:rPr>
            </w:pPr>
            <w:r>
              <w:rPr>
                <w:rFonts w:eastAsia="宋体"/>
                <w:sz w:val="20"/>
                <w:szCs w:val="20"/>
              </w:rPr>
              <w:t>Further check Active downlink TCI state switching delay for unified TCI, Active uplink TCI state switching delay measurement requirement.</w:t>
            </w:r>
          </w:p>
          <w:p>
            <w:pPr>
              <w:rPr>
                <w:rFonts w:eastAsia="Malgun Gothic"/>
                <w:b/>
                <w:sz w:val="20"/>
                <w:szCs w:val="20"/>
                <w:u w:val="single"/>
                <w:lang w:eastAsia="ko-KR"/>
              </w:rPr>
            </w:pPr>
            <w:r>
              <w:rPr>
                <w:rFonts w:eastAsia="Malgun Gothic"/>
                <w:b/>
                <w:sz w:val="20"/>
                <w:szCs w:val="20"/>
                <w:u w:val="single"/>
                <w:lang w:eastAsia="ko-KR"/>
              </w:rPr>
              <w:t>Issue 4-1-8: UE-specific CBW change requirements</w:t>
            </w:r>
          </w:p>
          <w:p>
            <w:pPr>
              <w:numPr>
                <w:ilvl w:val="0"/>
                <w:numId w:val="5"/>
              </w:numPr>
              <w:ind w:left="935" w:hanging="357"/>
              <w:rPr>
                <w:rFonts w:hint="default"/>
                <w:lang w:val="en-US" w:eastAsia="zh-CN"/>
              </w:rPr>
            </w:pPr>
            <w:r>
              <w:rPr>
                <w:rFonts w:eastAsia="宋体"/>
                <w:sz w:val="20"/>
                <w:szCs w:val="20"/>
              </w:rPr>
              <w:t>Existing requirements on UE-specific CBW change are reused for ATG.</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further analysis on signaling characteristic of ATG based on the multiple new characteristics of ATG compared with traditional fully ground based systems.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characteristics of ATG system, the following key points should be noted:</w:t>
      </w:r>
    </w:p>
    <w:p>
      <w:pPr>
        <w:numPr>
          <w:ilvl w:val="0"/>
          <w:numId w:val="6"/>
        </w:numPr>
        <w:ind w:left="420" w:leftChars="0" w:hanging="420" w:firstLineChars="0"/>
        <w:rPr>
          <w:rFonts w:hint="default"/>
          <w:lang w:val="en-US" w:eastAsia="zh-CN"/>
        </w:rPr>
      </w:pPr>
      <w:r>
        <w:rPr>
          <w:rFonts w:hint="eastAsia"/>
          <w:lang w:val="en-US" w:eastAsia="zh-CN"/>
        </w:rPr>
        <w:t>Extremely large ISD, e.g. about 100km to 200 km</w:t>
      </w:r>
    </w:p>
    <w:p>
      <w:pPr>
        <w:numPr>
          <w:ilvl w:val="0"/>
          <w:numId w:val="6"/>
        </w:numPr>
        <w:ind w:left="420" w:leftChars="0" w:hanging="420" w:firstLineChars="0"/>
        <w:rPr>
          <w:rFonts w:hint="default"/>
          <w:lang w:val="en-US" w:eastAsia="zh-CN"/>
        </w:rPr>
      </w:pPr>
      <w:r>
        <w:rPr>
          <w:rFonts w:hint="eastAsia"/>
          <w:lang w:val="en-US" w:eastAsia="zh-CN"/>
        </w:rPr>
        <w:t>Extremely high flight speed, e.g. up to 1200km/h</w:t>
      </w:r>
    </w:p>
    <w:p>
      <w:pPr>
        <w:numPr>
          <w:ilvl w:val="0"/>
          <w:numId w:val="6"/>
        </w:numPr>
        <w:ind w:left="420" w:leftChars="0" w:hanging="420" w:firstLineChars="0"/>
        <w:rPr>
          <w:rFonts w:hint="default"/>
          <w:lang w:val="en-US" w:eastAsia="zh-CN"/>
        </w:rPr>
      </w:pPr>
      <w:r>
        <w:rPr>
          <w:rFonts w:hint="eastAsia"/>
          <w:lang w:val="en-US" w:eastAsia="zh-CN"/>
        </w:rPr>
        <w:t>Utilizing same frequency for deploying both ATG and TN(terrestrial network), e.g. n1, n78, n79 -- So only focus on FR1</w:t>
      </w:r>
    </w:p>
    <w:p>
      <w:pPr>
        <w:numPr>
          <w:ilvl w:val="0"/>
          <w:numId w:val="6"/>
        </w:numPr>
        <w:ind w:left="420" w:leftChars="0" w:hanging="420" w:firstLineChars="0"/>
        <w:rPr>
          <w:rFonts w:hint="default"/>
          <w:lang w:val="en-US" w:eastAsia="zh-CN"/>
        </w:rPr>
      </w:pPr>
      <w:r>
        <w:rPr>
          <w:rFonts w:hint="eastAsia"/>
          <w:lang w:val="en-US" w:eastAsia="zh-CN"/>
        </w:rPr>
        <w:t>Much powerful on-board ATG terminal capacity</w:t>
      </w:r>
    </w:p>
    <w:p>
      <w:pPr>
        <w:numPr>
          <w:ilvl w:val="0"/>
          <w:numId w:val="6"/>
        </w:numPr>
        <w:ind w:left="420" w:leftChars="0" w:hanging="420" w:firstLineChars="0"/>
        <w:rPr>
          <w:rFonts w:hint="default"/>
          <w:lang w:val="en-US" w:eastAsia="zh-CN"/>
        </w:rPr>
      </w:pPr>
      <w:r>
        <w:rPr>
          <w:rFonts w:hint="eastAsia"/>
          <w:lang w:val="en-US" w:eastAsia="zh-CN"/>
        </w:rPr>
        <w:t>R18 only focuses on SA mode and single connectivity with operation in a single band. DC, FR2, inter-RAT are not applicable to ATG. CA is possible in future release depending on demands</w:t>
      </w:r>
    </w:p>
    <w:p>
      <w:pPr>
        <w:numPr>
          <w:ilvl w:val="0"/>
          <w:numId w:val="6"/>
        </w:numPr>
        <w:ind w:left="420" w:leftChars="0" w:hanging="420" w:firstLineChars="0"/>
        <w:rPr>
          <w:rFonts w:hint="default"/>
          <w:lang w:val="en-US" w:eastAsia="zh-CN"/>
        </w:rPr>
      </w:pPr>
      <w:r>
        <w:rPr>
          <w:rFonts w:hint="eastAsia"/>
          <w:lang w:val="en-US" w:eastAsia="zh-CN"/>
        </w:rPr>
        <w:t>Height of CPE: 3km--12km</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provide our analysis for multiple RRM aspects given all the above key points of ATG system.</w:t>
      </w:r>
    </w:p>
    <w:p>
      <w:pPr>
        <w:pStyle w:val="4"/>
        <w:rPr>
          <w:b w:val="0"/>
          <w:bCs/>
          <w:sz w:val="20"/>
          <w:szCs w:val="20"/>
          <w:u w:val="single"/>
          <w:lang w:eastAsia="ko-KR"/>
        </w:rPr>
      </w:pPr>
      <w:r>
        <w:rPr>
          <w:b w:val="0"/>
          <w:bCs/>
          <w:sz w:val="20"/>
          <w:szCs w:val="20"/>
          <w:u w:val="single"/>
          <w:lang w:eastAsia="ko-KR"/>
        </w:rPr>
        <w:t>Radio Link Monitoring</w:t>
      </w:r>
      <w:r>
        <w:rPr>
          <w:rFonts w:hint="eastAsia" w:eastAsia="宋体"/>
          <w:b w:val="0"/>
          <w:bCs/>
          <w:sz w:val="20"/>
          <w:szCs w:val="20"/>
          <w:u w:val="single"/>
          <w:lang w:val="en-US" w:eastAsia="zh-CN"/>
        </w:rPr>
        <w:t>/</w:t>
      </w:r>
      <w:r>
        <w:rPr>
          <w:b w:val="0"/>
          <w:bCs/>
          <w:sz w:val="20"/>
          <w:szCs w:val="20"/>
          <w:u w:val="single"/>
          <w:lang w:eastAsia="ko-KR"/>
        </w:rPr>
        <w:t>Link Recovery Procedure</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Under ATG scenario, since of high speed movement, the validity of RLM/BFD is limited, so frequent RLM/BFD indication would not lead to much gain. If the Out-of-sync and in-sync block error rates keep same as legacy, we prefer to reuse the legacy RLM and BFD evaluation period for Out-Of-Sync and In-Sync.</w:t>
      </w:r>
    </w:p>
    <w:p>
      <w:pPr>
        <w:pStyle w:val="4"/>
        <w:rPr>
          <w:b/>
          <w:sz w:val="20"/>
          <w:szCs w:val="20"/>
          <w:u w:val="single"/>
          <w:lang w:eastAsia="ko-KR"/>
        </w:rPr>
      </w:pPr>
      <w:r>
        <w:rPr>
          <w:rFonts w:hint="eastAsia" w:eastAsia="宋体" w:cs="Times New Roman"/>
          <w:b/>
          <w:bCs/>
          <w:color w:val="auto"/>
          <w:sz w:val="20"/>
          <w:szCs w:val="20"/>
          <w:highlight w:val="none"/>
          <w:lang w:val="en-US" w:eastAsia="zh-CN" w:bidi="ar-SA"/>
        </w:rPr>
        <w:t>Proposal 1: Reuse the legacy requirements of RLM/BFD for Out-Of-Sync and In-Sync evaluation.</w:t>
      </w:r>
    </w:p>
    <w:p>
      <w:pPr>
        <w:pStyle w:val="4"/>
        <w:rPr>
          <w:rFonts w:hint="eastAsia"/>
          <w:b w:val="0"/>
          <w:bCs/>
          <w:sz w:val="20"/>
          <w:szCs w:val="20"/>
          <w:u w:val="single"/>
          <w:lang w:val="en-US" w:eastAsia="zh-CN"/>
        </w:rPr>
      </w:pPr>
      <w:r>
        <w:rPr>
          <w:b w:val="0"/>
          <w:bCs/>
          <w:sz w:val="20"/>
          <w:szCs w:val="20"/>
          <w:u w:val="single"/>
          <w:lang w:eastAsia="ko-KR"/>
        </w:rPr>
        <w:t>Active BWP switching delay</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active BWP switching, active TCI state/spatial relation switching, just re-using legacy TN requirements is fine, we can not find any motivation to enhance.</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2: Reuse the legacy active BWP switching delay requirement for ATG.</w:t>
      </w:r>
    </w:p>
    <w:p>
      <w:pPr>
        <w:pStyle w:val="4"/>
        <w:rPr>
          <w:b w:val="0"/>
          <w:bCs/>
          <w:sz w:val="20"/>
          <w:szCs w:val="20"/>
          <w:u w:val="single"/>
          <w:lang w:eastAsia="ko-KR"/>
        </w:rPr>
      </w:pPr>
      <w:r>
        <w:rPr>
          <w:b w:val="0"/>
          <w:bCs/>
          <w:sz w:val="20"/>
          <w:szCs w:val="20"/>
          <w:u w:val="single"/>
          <w:lang w:eastAsia="ko-KR"/>
        </w:rPr>
        <w:t>Pathloss reference signal switching delay</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It has been approved that for active TCI state switching delay, active downlink TCI state switching delay for unified TCI and active uplink TCI state switching delay for unified TCI, all of them should reuse the legacy delay requirements for ATG. So the same logic can be applicable for pathloss RS switching delay. Reusing the legacy pathloss RS switching delay is fine.</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3: Reuse the legacy pathloss RS switching delay requirement for ATG.</w:t>
      </w:r>
    </w:p>
    <w:p>
      <w:pPr>
        <w:pStyle w:val="4"/>
        <w:rPr>
          <w:b w:val="0"/>
          <w:bCs/>
          <w:sz w:val="20"/>
          <w:szCs w:val="20"/>
          <w:u w:val="single"/>
          <w:lang w:eastAsia="ko-KR"/>
        </w:rPr>
      </w:pPr>
      <w:r>
        <w:rPr>
          <w:b w:val="0"/>
          <w:bCs/>
          <w:sz w:val="20"/>
          <w:szCs w:val="20"/>
          <w:u w:val="single"/>
          <w:lang w:eastAsia="ko-KR"/>
        </w:rPr>
        <w:t>Uplink spatial relation switch delay</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uplink spatial relation switch delay, just re-using legacy TN requirements is fine, we can not find any motivation to enhance.</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4: Reuse the legacy uplink spatial relation switching delay requirement for ATG.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signaling characteristic of RRM aspects for ATG system</w:t>
      </w:r>
      <w:r>
        <w:rPr>
          <w:rFonts w:eastAsia="宋体"/>
          <w:bCs/>
          <w:color w:val="auto"/>
          <w:sz w:val="20"/>
          <w:szCs w:val="20"/>
          <w:lang w:val="en-GB" w:eastAsia="zh-CN"/>
        </w:rPr>
        <w:t>:</w:t>
      </w:r>
    </w:p>
    <w:p>
      <w:pPr>
        <w:pStyle w:val="4"/>
        <w:rPr>
          <w:b/>
          <w:sz w:val="20"/>
          <w:szCs w:val="20"/>
          <w:u w:val="single"/>
          <w:lang w:eastAsia="ko-KR"/>
        </w:rPr>
      </w:pPr>
      <w:r>
        <w:rPr>
          <w:rFonts w:hint="eastAsia" w:eastAsia="宋体" w:cs="Times New Roman"/>
          <w:b/>
          <w:bCs/>
          <w:color w:val="auto"/>
          <w:sz w:val="20"/>
          <w:szCs w:val="20"/>
          <w:highlight w:val="none"/>
          <w:lang w:val="en-US" w:eastAsia="zh-CN" w:bidi="ar-SA"/>
        </w:rPr>
        <w:t>Proposal 1: Reuse the legacy requirements of RLM/BFD for Out-Of-Sync and In-Sync evaluation.</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2: Reuse the legacy active BWP switching delay requirement for ATG.</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3: Reuse the legacy pathloss RS switching delay requirement for ATG.</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4: Reuse the legacy uplink spatial relation switching delay requirement for ATG.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1369</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on Air-to-ground network for NR</w:t>
      </w:r>
      <w:r>
        <w:rPr>
          <w:rFonts w:hint="default"/>
          <w:color w:val="auto"/>
          <w:highlight w:val="none"/>
          <w:lang w:val="en-US" w:eastAsia="zh-CN"/>
        </w:rPr>
        <w:t>”</w:t>
      </w:r>
      <w:r>
        <w:rPr>
          <w:rFonts w:hint="eastAsia"/>
          <w:color w:val="auto"/>
          <w:highlight w:val="none"/>
          <w:lang w:val="en-US" w:eastAsia="zh-CN"/>
        </w:rPr>
        <w:t xml:space="preserve">, CMCC </w:t>
      </w:r>
    </w:p>
    <w:p>
      <w:pPr>
        <w:pStyle w:val="9"/>
        <w:numPr>
          <w:ilvl w:val="0"/>
          <w:numId w:val="0"/>
        </w:numPr>
        <w:ind w:leftChars="0"/>
        <w:rPr>
          <w:rFonts w:hint="default" w:eastAsia="宋体"/>
          <w:color w:val="auto"/>
          <w:lang w:val="en-US" w:eastAsia="zh-CN"/>
        </w:rPr>
      </w:pPr>
      <w:r>
        <w:rPr>
          <w:rFonts w:hint="eastAsia"/>
          <w:color w:val="auto"/>
          <w:lang w:val="en-US" w:eastAsia="zh-CN"/>
        </w:rPr>
        <w:t xml:space="preserve">[2] RP-2217256 </w:t>
      </w:r>
      <w:r>
        <w:rPr>
          <w:rFonts w:hint="default"/>
          <w:color w:val="auto"/>
          <w:lang w:val="en-US" w:eastAsia="zh-CN"/>
        </w:rPr>
        <w:t>“</w:t>
      </w:r>
      <w:bookmarkStart w:id="0" w:name="_Hlk41145953"/>
      <w:r>
        <w:rPr>
          <w:rFonts w:hint="default"/>
          <w:color w:val="auto"/>
          <w:lang w:val="en-US" w:eastAsia="zh-CN"/>
        </w:rPr>
        <w:t>WF on NR ATG RRM</w:t>
      </w:r>
      <w:bookmarkEnd w:id="0"/>
      <w:r>
        <w:rPr>
          <w:rFonts w:hint="default"/>
          <w:color w:val="auto"/>
          <w:lang w:val="en-US" w:eastAsia="zh-CN"/>
        </w:rPr>
        <w:t xml:space="preserve"> core requirements”</w:t>
      </w:r>
      <w:r>
        <w:rPr>
          <w:rFonts w:hint="eastAsia"/>
          <w:color w:val="auto"/>
          <w:lang w:val="en-US" w:eastAsia="zh-CN"/>
        </w:rPr>
        <w:t>, CMCC</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E50CD3B"/>
    <w:multiLevelType w:val="singleLevel"/>
    <w:tmpl w:val="3E50CD3B"/>
    <w:lvl w:ilvl="0" w:tentative="0">
      <w:start w:val="1"/>
      <w:numFmt w:val="bullet"/>
      <w:lvlText w:val=""/>
      <w:lvlJc w:val="left"/>
      <w:pPr>
        <w:ind w:left="420" w:hanging="420"/>
      </w:pPr>
      <w:rPr>
        <w:rFonts w:hint="default" w:ascii="Wingdings" w:hAnsi="Wingdings"/>
      </w:r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1"/>
  </w:num>
  <w:num w:numId="4">
    <w:abstractNumId w:val="2"/>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317828"/>
    <w:rsid w:val="05477E90"/>
    <w:rsid w:val="05BB5AB9"/>
    <w:rsid w:val="05C42923"/>
    <w:rsid w:val="06226EA6"/>
    <w:rsid w:val="06963BA6"/>
    <w:rsid w:val="07CD3CDD"/>
    <w:rsid w:val="083E6EA0"/>
    <w:rsid w:val="0855671D"/>
    <w:rsid w:val="089009EB"/>
    <w:rsid w:val="08EA2407"/>
    <w:rsid w:val="09716BCA"/>
    <w:rsid w:val="09D64B23"/>
    <w:rsid w:val="09E644B8"/>
    <w:rsid w:val="0A867423"/>
    <w:rsid w:val="0AB155C2"/>
    <w:rsid w:val="0B12013A"/>
    <w:rsid w:val="0B3D3C2F"/>
    <w:rsid w:val="0BB0429A"/>
    <w:rsid w:val="0BDD6CEC"/>
    <w:rsid w:val="0BFF5FC6"/>
    <w:rsid w:val="0C394019"/>
    <w:rsid w:val="0CD05342"/>
    <w:rsid w:val="0CDB4E5B"/>
    <w:rsid w:val="0DD17D88"/>
    <w:rsid w:val="0DEE745F"/>
    <w:rsid w:val="0FAD3D1E"/>
    <w:rsid w:val="102263EF"/>
    <w:rsid w:val="10997F43"/>
    <w:rsid w:val="10DE7BAE"/>
    <w:rsid w:val="120774A3"/>
    <w:rsid w:val="12887761"/>
    <w:rsid w:val="14006D19"/>
    <w:rsid w:val="1481754F"/>
    <w:rsid w:val="148F32AB"/>
    <w:rsid w:val="148F5721"/>
    <w:rsid w:val="14AC57CD"/>
    <w:rsid w:val="15ED3E9B"/>
    <w:rsid w:val="164514BE"/>
    <w:rsid w:val="166B2EA9"/>
    <w:rsid w:val="16E73296"/>
    <w:rsid w:val="170F06AA"/>
    <w:rsid w:val="17225508"/>
    <w:rsid w:val="17B07FBC"/>
    <w:rsid w:val="180A6E32"/>
    <w:rsid w:val="183F2CD2"/>
    <w:rsid w:val="1856323E"/>
    <w:rsid w:val="18AF55E3"/>
    <w:rsid w:val="18B077E2"/>
    <w:rsid w:val="18B1519A"/>
    <w:rsid w:val="18CD0507"/>
    <w:rsid w:val="18F36BA5"/>
    <w:rsid w:val="195D7D48"/>
    <w:rsid w:val="1AD01A1B"/>
    <w:rsid w:val="1B61065A"/>
    <w:rsid w:val="1BBF3927"/>
    <w:rsid w:val="1C177B08"/>
    <w:rsid w:val="1C9001C6"/>
    <w:rsid w:val="1CBA2101"/>
    <w:rsid w:val="1D0573D7"/>
    <w:rsid w:val="1D153DC4"/>
    <w:rsid w:val="1D223E0B"/>
    <w:rsid w:val="1D317C9F"/>
    <w:rsid w:val="1E132F88"/>
    <w:rsid w:val="1E2867E9"/>
    <w:rsid w:val="1E853F6F"/>
    <w:rsid w:val="1E9C7BCC"/>
    <w:rsid w:val="1ECC1E3C"/>
    <w:rsid w:val="208364FC"/>
    <w:rsid w:val="208953F9"/>
    <w:rsid w:val="21014C39"/>
    <w:rsid w:val="21244EB1"/>
    <w:rsid w:val="213964D8"/>
    <w:rsid w:val="21595D04"/>
    <w:rsid w:val="21F13629"/>
    <w:rsid w:val="223236B6"/>
    <w:rsid w:val="2255462C"/>
    <w:rsid w:val="229D4A97"/>
    <w:rsid w:val="2305377E"/>
    <w:rsid w:val="23901822"/>
    <w:rsid w:val="24122135"/>
    <w:rsid w:val="24D4257E"/>
    <w:rsid w:val="2572202B"/>
    <w:rsid w:val="2605683C"/>
    <w:rsid w:val="26BB1419"/>
    <w:rsid w:val="27B748AA"/>
    <w:rsid w:val="27CB4CB9"/>
    <w:rsid w:val="281C2F58"/>
    <w:rsid w:val="29642C4B"/>
    <w:rsid w:val="2A34628C"/>
    <w:rsid w:val="2A724D05"/>
    <w:rsid w:val="2A7E505C"/>
    <w:rsid w:val="2AC85686"/>
    <w:rsid w:val="2AD04B5F"/>
    <w:rsid w:val="2BC05B2C"/>
    <w:rsid w:val="2BD617C5"/>
    <w:rsid w:val="2C112837"/>
    <w:rsid w:val="2C9B1252"/>
    <w:rsid w:val="2C9C2786"/>
    <w:rsid w:val="2CC13667"/>
    <w:rsid w:val="2E014790"/>
    <w:rsid w:val="2EE77680"/>
    <w:rsid w:val="2F2F0FC8"/>
    <w:rsid w:val="2FA70460"/>
    <w:rsid w:val="301C6BB6"/>
    <w:rsid w:val="319708F2"/>
    <w:rsid w:val="31A8260E"/>
    <w:rsid w:val="31B14C9E"/>
    <w:rsid w:val="332B149D"/>
    <w:rsid w:val="33C522D7"/>
    <w:rsid w:val="344C156B"/>
    <w:rsid w:val="34807672"/>
    <w:rsid w:val="35B06C6A"/>
    <w:rsid w:val="366149EB"/>
    <w:rsid w:val="36941AA2"/>
    <w:rsid w:val="36D37423"/>
    <w:rsid w:val="379D23F9"/>
    <w:rsid w:val="3A185287"/>
    <w:rsid w:val="3A1F46B8"/>
    <w:rsid w:val="3A692CD0"/>
    <w:rsid w:val="3AAE4AA7"/>
    <w:rsid w:val="3AF23299"/>
    <w:rsid w:val="3B270929"/>
    <w:rsid w:val="3B3D5571"/>
    <w:rsid w:val="3B673620"/>
    <w:rsid w:val="3B9A1F29"/>
    <w:rsid w:val="3CE4646B"/>
    <w:rsid w:val="3CFC1228"/>
    <w:rsid w:val="3D5E7AA8"/>
    <w:rsid w:val="3D6F2596"/>
    <w:rsid w:val="3D946587"/>
    <w:rsid w:val="405F175E"/>
    <w:rsid w:val="40C765F3"/>
    <w:rsid w:val="42F869D2"/>
    <w:rsid w:val="43553536"/>
    <w:rsid w:val="44972678"/>
    <w:rsid w:val="451632B9"/>
    <w:rsid w:val="45906394"/>
    <w:rsid w:val="45F60A50"/>
    <w:rsid w:val="46142D0C"/>
    <w:rsid w:val="46263A53"/>
    <w:rsid w:val="46970A81"/>
    <w:rsid w:val="46B036BF"/>
    <w:rsid w:val="46CC320F"/>
    <w:rsid w:val="47282363"/>
    <w:rsid w:val="47810C98"/>
    <w:rsid w:val="47924F0A"/>
    <w:rsid w:val="48F407FD"/>
    <w:rsid w:val="49DC4EAC"/>
    <w:rsid w:val="49E55BC5"/>
    <w:rsid w:val="4A5D0BB5"/>
    <w:rsid w:val="4B600E77"/>
    <w:rsid w:val="4B8F684D"/>
    <w:rsid w:val="4BCF0B67"/>
    <w:rsid w:val="4BF02011"/>
    <w:rsid w:val="4C1C63D6"/>
    <w:rsid w:val="4C2D52ED"/>
    <w:rsid w:val="4C864A35"/>
    <w:rsid w:val="4D207A05"/>
    <w:rsid w:val="4D53283E"/>
    <w:rsid w:val="4E015C76"/>
    <w:rsid w:val="4E310026"/>
    <w:rsid w:val="4E4A2325"/>
    <w:rsid w:val="4F094BFA"/>
    <w:rsid w:val="4FC7362A"/>
    <w:rsid w:val="501A6C55"/>
    <w:rsid w:val="515B1740"/>
    <w:rsid w:val="51B14BED"/>
    <w:rsid w:val="52526454"/>
    <w:rsid w:val="525C1CEF"/>
    <w:rsid w:val="528B5767"/>
    <w:rsid w:val="52D33625"/>
    <w:rsid w:val="53A3105E"/>
    <w:rsid w:val="53C64B93"/>
    <w:rsid w:val="548A6C60"/>
    <w:rsid w:val="55B1164D"/>
    <w:rsid w:val="55B4735E"/>
    <w:rsid w:val="55BB221D"/>
    <w:rsid w:val="56371459"/>
    <w:rsid w:val="56484633"/>
    <w:rsid w:val="57FF4799"/>
    <w:rsid w:val="58D0053D"/>
    <w:rsid w:val="595A2A3C"/>
    <w:rsid w:val="598C40A0"/>
    <w:rsid w:val="59DA647E"/>
    <w:rsid w:val="5A556E1A"/>
    <w:rsid w:val="5BF92FF2"/>
    <w:rsid w:val="5C924E81"/>
    <w:rsid w:val="5E2864D0"/>
    <w:rsid w:val="5E494511"/>
    <w:rsid w:val="5EB44FC0"/>
    <w:rsid w:val="5FBA395F"/>
    <w:rsid w:val="60094E5C"/>
    <w:rsid w:val="606F38F4"/>
    <w:rsid w:val="60EC2CBA"/>
    <w:rsid w:val="61CC2D28"/>
    <w:rsid w:val="635902CD"/>
    <w:rsid w:val="64706BBE"/>
    <w:rsid w:val="64F2095B"/>
    <w:rsid w:val="65A16A49"/>
    <w:rsid w:val="67A858DB"/>
    <w:rsid w:val="67FE4166"/>
    <w:rsid w:val="68C401C3"/>
    <w:rsid w:val="69A833BD"/>
    <w:rsid w:val="69EF6835"/>
    <w:rsid w:val="6D566F0F"/>
    <w:rsid w:val="6D836F72"/>
    <w:rsid w:val="6DDE3DAF"/>
    <w:rsid w:val="6E3241BE"/>
    <w:rsid w:val="6EB97A9D"/>
    <w:rsid w:val="6EF10A90"/>
    <w:rsid w:val="6EFC7DED"/>
    <w:rsid w:val="6F2A7FBF"/>
    <w:rsid w:val="6FFF1868"/>
    <w:rsid w:val="715F4C2D"/>
    <w:rsid w:val="722F78FB"/>
    <w:rsid w:val="723C2F8E"/>
    <w:rsid w:val="723D67C5"/>
    <w:rsid w:val="726A5F44"/>
    <w:rsid w:val="72BF60CA"/>
    <w:rsid w:val="72F41282"/>
    <w:rsid w:val="733D0D32"/>
    <w:rsid w:val="73B76769"/>
    <w:rsid w:val="73D411F1"/>
    <w:rsid w:val="74A356B2"/>
    <w:rsid w:val="753811DE"/>
    <w:rsid w:val="75BE67D4"/>
    <w:rsid w:val="75C2004C"/>
    <w:rsid w:val="75C759C1"/>
    <w:rsid w:val="76281B03"/>
    <w:rsid w:val="762D64F3"/>
    <w:rsid w:val="762E20AD"/>
    <w:rsid w:val="767E7EFF"/>
    <w:rsid w:val="775B4604"/>
    <w:rsid w:val="77C067C3"/>
    <w:rsid w:val="78074939"/>
    <w:rsid w:val="78911E31"/>
    <w:rsid w:val="78F9732D"/>
    <w:rsid w:val="7922350F"/>
    <w:rsid w:val="792B5470"/>
    <w:rsid w:val="7A9367CB"/>
    <w:rsid w:val="7AF22571"/>
    <w:rsid w:val="7B0720CF"/>
    <w:rsid w:val="7B4C0E47"/>
    <w:rsid w:val="7B69224B"/>
    <w:rsid w:val="7BE80F25"/>
    <w:rsid w:val="7C1C35A7"/>
    <w:rsid w:val="7C45431D"/>
    <w:rsid w:val="7D25352B"/>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2022-11-07T14:33:09Z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